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25641" w14:textId="77777777" w:rsidR="00823306" w:rsidRPr="001D6A20" w:rsidRDefault="00823306" w:rsidP="00E1184D">
      <w:pPr>
        <w:jc w:val="right"/>
        <w:rPr>
          <w:rFonts w:cstheme="minorHAnsi"/>
          <w:rtl/>
          <w:lang w:val="en-US" w:bidi="ar-AE"/>
        </w:rPr>
      </w:pPr>
    </w:p>
    <w:p w14:paraId="1D7215F4" w14:textId="57D29367" w:rsidR="00E1184D" w:rsidRPr="001D6A20" w:rsidRDefault="00E1184D" w:rsidP="00E1184D">
      <w:pPr>
        <w:jc w:val="right"/>
        <w:rPr>
          <w:rFonts w:cstheme="minorHAnsi"/>
          <w:rtl/>
          <w:lang w:val="en-US"/>
        </w:rPr>
      </w:pPr>
      <w:r w:rsidRPr="001D6A20">
        <w:rPr>
          <w:rFonts w:cstheme="minorHAnsi"/>
          <w:b/>
          <w:bCs/>
          <w:u w:val="single"/>
          <w:rtl/>
          <w:lang w:val="en-US"/>
        </w:rPr>
        <w:t>الموضوع</w:t>
      </w:r>
      <w:r w:rsidRPr="001D6A20">
        <w:rPr>
          <w:rFonts w:cstheme="minorHAnsi"/>
          <w:rtl/>
          <w:lang w:val="en-US"/>
        </w:rPr>
        <w:t>:</w:t>
      </w:r>
    </w:p>
    <w:p w14:paraId="6734BECB" w14:textId="27931971" w:rsidR="00E1184D" w:rsidRPr="001D6A20" w:rsidRDefault="00E1184D" w:rsidP="00E1184D">
      <w:pPr>
        <w:jc w:val="right"/>
        <w:rPr>
          <w:rFonts w:cstheme="minorHAnsi"/>
          <w:lang w:val="en-US"/>
        </w:rPr>
      </w:pPr>
      <w:r w:rsidRPr="001D6A20">
        <w:rPr>
          <w:rFonts w:cstheme="minorHAnsi"/>
          <w:rtl/>
          <w:lang w:val="en-US"/>
        </w:rPr>
        <w:t>تدرك حكومة دولة الإمارات العربية المتحدة مدى أهمية المزايا التي يوفرها البحث والتطوير على نطاق واسع في دفع الابتكار وتنمية قاعدة المعرفة كجزء من تطوير اقتصاد حيوي ومتنوع</w:t>
      </w:r>
      <w:r w:rsidR="001D6A20">
        <w:rPr>
          <w:rFonts w:cstheme="minorHAnsi" w:hint="cs"/>
          <w:rtl/>
          <w:lang w:val="en-US"/>
        </w:rPr>
        <w:t>.</w:t>
      </w:r>
    </w:p>
    <w:p w14:paraId="5FB67888" w14:textId="7F3E4479" w:rsidR="00E1184D" w:rsidRPr="001D6A20" w:rsidRDefault="00E1184D" w:rsidP="00E1184D">
      <w:pPr>
        <w:jc w:val="right"/>
        <w:rPr>
          <w:rFonts w:cstheme="minorHAnsi"/>
          <w:rtl/>
          <w:lang w:val="en-US"/>
        </w:rPr>
      </w:pPr>
      <w:r w:rsidRPr="001D6A20">
        <w:rPr>
          <w:rFonts w:cstheme="minorHAnsi"/>
          <w:rtl/>
          <w:lang w:val="en-US"/>
        </w:rPr>
        <w:t>ولذلك تأخذ حكومة دولة الإمارات العربية المتحدة في الاعتبار الآليات الممكنة لتحقيق هذا الهدف وكذلك نظام دعم واسع النطاق عبر الاقتصاد من خلال الحافز الضريبي المحتمل للبحث والتطوير بموجب قانون ضريبة الشركات</w:t>
      </w:r>
      <w:r w:rsidRPr="001D6A20">
        <w:rPr>
          <w:rFonts w:cstheme="minorHAnsi"/>
          <w:rtl/>
          <w:lang w:val="en-US"/>
        </w:rPr>
        <w:t>.</w:t>
      </w:r>
    </w:p>
    <w:p w14:paraId="487B518B" w14:textId="77777777" w:rsidR="00E1184D" w:rsidRPr="001D6A20" w:rsidRDefault="00E1184D" w:rsidP="00E1184D">
      <w:pPr>
        <w:jc w:val="right"/>
        <w:rPr>
          <w:rFonts w:cstheme="minorHAnsi"/>
          <w:rtl/>
          <w:lang w:val="en-US"/>
        </w:rPr>
      </w:pPr>
    </w:p>
    <w:p w14:paraId="5930FF42" w14:textId="4116D013" w:rsidR="00E1184D" w:rsidRPr="001D6A20" w:rsidRDefault="00E1184D" w:rsidP="00E1184D">
      <w:pPr>
        <w:jc w:val="right"/>
        <w:rPr>
          <w:rFonts w:cstheme="minorHAnsi"/>
          <w:b/>
          <w:bCs/>
          <w:u w:val="single"/>
          <w:rtl/>
          <w:lang w:val="en-US"/>
        </w:rPr>
      </w:pPr>
      <w:r w:rsidRPr="001D6A20">
        <w:rPr>
          <w:rFonts w:cstheme="minorHAnsi"/>
          <w:b/>
          <w:bCs/>
          <w:u w:val="single"/>
          <w:rtl/>
          <w:lang w:val="en-US"/>
        </w:rPr>
        <w:t>الهدف:</w:t>
      </w:r>
    </w:p>
    <w:p w14:paraId="1319C6CA" w14:textId="7A0D9D42" w:rsidR="00E1184D" w:rsidRPr="001D6A20" w:rsidRDefault="00E1184D" w:rsidP="00E1184D">
      <w:pPr>
        <w:jc w:val="right"/>
        <w:rPr>
          <w:rFonts w:cstheme="minorHAnsi"/>
          <w:rtl/>
          <w:lang w:val="en-US"/>
        </w:rPr>
      </w:pPr>
      <w:r w:rsidRPr="001D6A20">
        <w:rPr>
          <w:rFonts w:cstheme="minorHAnsi"/>
          <w:rtl/>
          <w:lang w:val="en-US"/>
        </w:rPr>
        <w:t>لضمان تصميم الحافز الضريبي للبحث والتطوير بما يلبي احتياجات الأعمال في دولة الإمارات، تم إطلاق هذه المشورة العامة. وتم تقسيم المشورة إلى مجموعة من الأسئلة التي تغطي الجوانب المختلفة لتصميم خصائص الحوافز الضريبية المحتملة، بالإضافة إلى ملحق يتضمن ورقة إرشادية حول مبادئ البحث والتطوير، والتي تغطي التعريف، والخصائص، والأنشطة النموذجية لوظائف البحث والتطوير</w:t>
      </w:r>
      <w:r w:rsidRPr="001D6A20">
        <w:rPr>
          <w:rFonts w:cstheme="minorHAnsi"/>
          <w:rtl/>
          <w:lang w:val="en-US"/>
        </w:rPr>
        <w:t>.</w:t>
      </w:r>
    </w:p>
    <w:p w14:paraId="41A8AEF9" w14:textId="77777777" w:rsidR="00E1184D" w:rsidRPr="001D6A20" w:rsidRDefault="00E1184D" w:rsidP="00E1184D">
      <w:pPr>
        <w:jc w:val="right"/>
        <w:rPr>
          <w:rFonts w:cstheme="minorHAnsi"/>
          <w:rtl/>
          <w:lang w:val="en-US"/>
        </w:rPr>
      </w:pPr>
    </w:p>
    <w:p w14:paraId="2BFAEF7B" w14:textId="160BB511" w:rsidR="00E1184D" w:rsidRPr="001D6A20" w:rsidRDefault="00636F24" w:rsidP="00E1184D">
      <w:pPr>
        <w:jc w:val="right"/>
        <w:rPr>
          <w:rFonts w:cstheme="minorHAnsi"/>
          <w:b/>
          <w:bCs/>
          <w:u w:val="single"/>
          <w:lang w:val="en-US"/>
        </w:rPr>
      </w:pPr>
      <w:r>
        <w:rPr>
          <w:rFonts w:cstheme="minorHAnsi" w:hint="cs"/>
          <w:b/>
          <w:bCs/>
          <w:u w:val="single"/>
          <w:rtl/>
          <w:lang w:val="en-US"/>
        </w:rPr>
        <w:t>القرارات</w:t>
      </w:r>
      <w:r w:rsidR="00E1184D" w:rsidRPr="001D6A20">
        <w:rPr>
          <w:rFonts w:cstheme="minorHAnsi"/>
          <w:b/>
          <w:bCs/>
          <w:u w:val="single"/>
          <w:rtl/>
          <w:lang w:val="en-US"/>
        </w:rPr>
        <w:t xml:space="preserve"> المتوقعة كنتيجة لهذه المبادرة</w:t>
      </w:r>
      <w:r w:rsidR="00E1184D" w:rsidRPr="001D6A20">
        <w:rPr>
          <w:rFonts w:cstheme="minorHAnsi"/>
          <w:b/>
          <w:bCs/>
          <w:u w:val="single"/>
          <w:rtl/>
          <w:lang w:val="en-US"/>
        </w:rPr>
        <w:t>:</w:t>
      </w:r>
    </w:p>
    <w:p w14:paraId="54C21BAC" w14:textId="7756E037" w:rsidR="00E1184D" w:rsidRPr="001D6A20" w:rsidRDefault="00E1184D" w:rsidP="00E1184D">
      <w:pPr>
        <w:jc w:val="right"/>
        <w:rPr>
          <w:rFonts w:cstheme="minorHAnsi"/>
          <w:lang w:val="en-US"/>
        </w:rPr>
      </w:pPr>
      <w:r w:rsidRPr="001D6A20">
        <w:rPr>
          <w:rFonts w:cstheme="minorHAnsi"/>
          <w:rtl/>
          <w:lang w:val="en-US"/>
        </w:rPr>
        <w:t>بناءً على هذه المشورة، ستقوم وزارة المالية بمراجعة الآراء المطروحة لتحديد ما إذا كانت ستمضي قدمًا في تطبيق الحافز الضريبي للبحث والتطوير، وكذلك ستساهم هذه الآراء في تحديد ملامح تصميمه</w:t>
      </w:r>
      <w:r w:rsidRPr="001D6A20">
        <w:rPr>
          <w:rFonts w:cstheme="minorHAnsi"/>
          <w:rtl/>
          <w:lang w:val="en-US"/>
        </w:rPr>
        <w:t>.</w:t>
      </w:r>
    </w:p>
    <w:p w14:paraId="35AC7518" w14:textId="77777777" w:rsidR="00E1184D" w:rsidRPr="001D6A20" w:rsidRDefault="00E1184D" w:rsidP="00E1184D">
      <w:pPr>
        <w:jc w:val="right"/>
        <w:rPr>
          <w:rFonts w:cstheme="minorHAnsi"/>
          <w:lang w:val="en-US"/>
        </w:rPr>
      </w:pPr>
    </w:p>
    <w:p w14:paraId="3414EADE" w14:textId="5B134E12" w:rsidR="00E1184D" w:rsidRPr="001D6A20" w:rsidRDefault="00E1184D" w:rsidP="00E1184D">
      <w:pPr>
        <w:jc w:val="right"/>
        <w:rPr>
          <w:rFonts w:cstheme="minorHAnsi"/>
          <w:b/>
          <w:bCs/>
          <w:u w:val="single"/>
          <w:lang w:val="en-US"/>
        </w:rPr>
      </w:pPr>
      <w:r w:rsidRPr="001D6A20">
        <w:rPr>
          <w:rFonts w:cstheme="minorHAnsi"/>
          <w:b/>
          <w:bCs/>
          <w:u w:val="single"/>
          <w:rtl/>
          <w:lang w:val="en-US"/>
        </w:rPr>
        <w:t>النتائج والأثر</w:t>
      </w:r>
      <w:r w:rsidRPr="001D6A20">
        <w:rPr>
          <w:rFonts w:cstheme="minorHAnsi"/>
          <w:b/>
          <w:bCs/>
          <w:u w:val="single"/>
          <w:rtl/>
          <w:lang w:val="en-US"/>
        </w:rPr>
        <w:t>:</w:t>
      </w:r>
    </w:p>
    <w:p w14:paraId="218315A0" w14:textId="77777777" w:rsidR="00E1184D" w:rsidRPr="001D6A20" w:rsidRDefault="00E1184D" w:rsidP="00E1184D">
      <w:pPr>
        <w:jc w:val="right"/>
        <w:rPr>
          <w:rFonts w:cstheme="minorHAnsi"/>
          <w:lang w:val="en-US"/>
        </w:rPr>
      </w:pPr>
      <w:r w:rsidRPr="001D6A20">
        <w:rPr>
          <w:rFonts w:cstheme="minorHAnsi"/>
          <w:rtl/>
          <w:lang w:val="en-US"/>
        </w:rPr>
        <w:t>تلقت المشورة العامة 21 ردًا، حيث كانت فئات المشاركين تتركز بشكل أساسي في قطاعات التكنولوجيا، والخدمات المالية، والتعليم. ساعدت الملاحظات الواردة في تصميم السياسة الضريبية المحتملة للبحث والتطوير لضمان أن تكون أي سياسة مقترحة ملائمة وفعّالة في دولة الإمارات، إلى جانب مساهمات من جهات معنية أخرى</w:t>
      </w:r>
      <w:r w:rsidRPr="001D6A20">
        <w:rPr>
          <w:rFonts w:cstheme="minorHAnsi"/>
          <w:lang w:val="en-US"/>
        </w:rPr>
        <w:t>.</w:t>
      </w:r>
    </w:p>
    <w:p w14:paraId="3CE15FD6" w14:textId="5AE485E8" w:rsidR="00E1184D" w:rsidRPr="001D6A20" w:rsidRDefault="00E1184D" w:rsidP="00E1184D">
      <w:pPr>
        <w:jc w:val="right"/>
        <w:rPr>
          <w:rFonts w:cstheme="minorHAnsi"/>
          <w:lang w:val="en-US"/>
        </w:rPr>
      </w:pPr>
      <w:r w:rsidRPr="001D6A20">
        <w:rPr>
          <w:rFonts w:cstheme="minorHAnsi"/>
          <w:rtl/>
          <w:lang w:val="en-US"/>
        </w:rPr>
        <w:t>وبناءً على نتائج المشورة العامة، تم اتخاذ قرار المضي قدمًا في هذه المبادرة من خلال تصميم حوافز ضريبية للبحث والتطوير في دولة الإمارات</w:t>
      </w:r>
      <w:r w:rsidRPr="001D6A20">
        <w:rPr>
          <w:rFonts w:cstheme="minorHAnsi"/>
          <w:rtl/>
          <w:lang w:val="en-US"/>
        </w:rPr>
        <w:t>.</w:t>
      </w:r>
    </w:p>
    <w:p w14:paraId="2D265DE0" w14:textId="77777777" w:rsidR="00E1184D" w:rsidRPr="00E1184D" w:rsidRDefault="00E1184D" w:rsidP="00E1184D">
      <w:pPr>
        <w:jc w:val="right"/>
        <w:rPr>
          <w:lang w:val="en-US"/>
        </w:rPr>
      </w:pPr>
    </w:p>
    <w:p w14:paraId="33EC18A4" w14:textId="77777777" w:rsidR="00E1184D" w:rsidRPr="00E1184D" w:rsidRDefault="00E1184D" w:rsidP="00E1184D">
      <w:pPr>
        <w:jc w:val="right"/>
        <w:rPr>
          <w:lang w:val="en-US"/>
        </w:rPr>
      </w:pPr>
    </w:p>
    <w:p w14:paraId="037A2340" w14:textId="77777777" w:rsidR="00E1184D" w:rsidRPr="00E1184D" w:rsidRDefault="00E1184D" w:rsidP="00E1184D">
      <w:pPr>
        <w:jc w:val="right"/>
        <w:rPr>
          <w:lang w:val="en-US"/>
        </w:rPr>
      </w:pPr>
    </w:p>
    <w:p w14:paraId="7FA6EF4A" w14:textId="77777777" w:rsidR="00E1184D" w:rsidRPr="00E1184D" w:rsidRDefault="00E1184D" w:rsidP="00E1184D">
      <w:pPr>
        <w:jc w:val="right"/>
        <w:rPr>
          <w:lang w:val="en-US"/>
        </w:rPr>
      </w:pPr>
    </w:p>
    <w:p w14:paraId="4236EE0E" w14:textId="77777777" w:rsidR="00E1184D" w:rsidRPr="00E1184D" w:rsidRDefault="00E1184D" w:rsidP="00E1184D">
      <w:pPr>
        <w:jc w:val="right"/>
        <w:rPr>
          <w:lang w:val="en-US"/>
        </w:rPr>
      </w:pPr>
    </w:p>
    <w:p w14:paraId="5831A13C" w14:textId="77777777" w:rsidR="00E1184D" w:rsidRDefault="00E1184D" w:rsidP="00E1184D">
      <w:pPr>
        <w:jc w:val="right"/>
        <w:rPr>
          <w:rtl/>
          <w:lang w:val="en-US"/>
        </w:rPr>
      </w:pPr>
    </w:p>
    <w:p w14:paraId="51F2FAEF" w14:textId="77777777" w:rsidR="00E1184D" w:rsidRDefault="00E1184D" w:rsidP="00E1184D">
      <w:pPr>
        <w:jc w:val="right"/>
        <w:rPr>
          <w:rtl/>
          <w:lang w:val="en-US"/>
        </w:rPr>
      </w:pPr>
    </w:p>
    <w:p w14:paraId="76F7E573" w14:textId="77777777" w:rsidR="00E1184D" w:rsidRPr="00E1184D" w:rsidRDefault="00E1184D" w:rsidP="00E1184D">
      <w:pPr>
        <w:jc w:val="right"/>
        <w:rPr>
          <w:lang w:val="en-US"/>
        </w:rPr>
      </w:pPr>
    </w:p>
    <w:sectPr w:rsidR="00E1184D" w:rsidRPr="00E118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84D"/>
    <w:rsid w:val="001A70A7"/>
    <w:rsid w:val="001D6A20"/>
    <w:rsid w:val="003B7069"/>
    <w:rsid w:val="00636F24"/>
    <w:rsid w:val="00823306"/>
    <w:rsid w:val="00B25BD9"/>
    <w:rsid w:val="00E1184D"/>
    <w:rsid w:val="00E41D06"/>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4459"/>
  <w15:chartTrackingRefBased/>
  <w15:docId w15:val="{DFA581C7-B2AD-4FFB-998C-EDFAC2AD2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 kurdi</dc:creator>
  <cp:keywords/>
  <dc:description/>
  <cp:lastModifiedBy>Dania kurdi</cp:lastModifiedBy>
  <cp:revision>3</cp:revision>
  <dcterms:created xsi:type="dcterms:W3CDTF">2024-12-17T03:53:00Z</dcterms:created>
  <dcterms:modified xsi:type="dcterms:W3CDTF">2024-12-17T04:01:00Z</dcterms:modified>
</cp:coreProperties>
</file>